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9BFB508" w:rsidR="005A7127" w:rsidRPr="00FC3F8A" w:rsidRDefault="00E47586" w:rsidP="00E47586">
      <w:hyperlink r:id="rId6" w:history="1">
        <w:r w:rsidRPr="008A06EC">
          <w:rPr>
            <w:rStyle w:val="Collegamentoipertestuale"/>
          </w:rPr>
          <w:t>https://finanza.ilsecoloxix.it/News/2025/02/15/panetta-bankitalia-esito-concentrazioni-banche-affidato-a-dinamiche-di-mercato-e-scelte-azionisti/M18yMDI1LTAyLTE1X1RMQg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netta-bankitalia-esito-concentrazioni-banche-affidato-a-dinamiche-di-mercato-e-scelte-azionisti/M1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2025-02-20T15:18:00Z</dcterms:created>
  <dcterms:modified xsi:type="dcterms:W3CDTF">2025-02-20T15:34:00Z</dcterms:modified>
</cp:coreProperties>
</file>